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4A7C59" w:sz="6"/>
        </w:pBdr>
        <w:shd w:fill="4A7C59" w:val="clear"/>
        <w:spacing w:after="0" w:before="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Rotterdam Bevalt  |  Epidurális érzéstelenítés a szülés során</w:t>
      </w:r>
    </w:p>
    <w:p>
      <w:pPr>
        <w:shd w:fill="4A7C59" w:val="clear"/>
        <w:spacing w:after="120" w:before="0"/>
      </w:pPr>
      <w:r>
        <w:rPr>
          <w:rFonts w:ascii="Arial" w:cs="Arial" w:eastAsia="Arial" w:hAnsi="Arial"/>
          <w:color w:val="D4E8DC"/>
          <w:sz w:val="18"/>
          <w:szCs w:val="18"/>
        </w:rPr>
        <w:t xml:space="preserve">Sürgős: 06-51 99 69 03  |  www.rotterdambevalt.nl</w:t>
      </w: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53"/>
        <w:gridCol w:w="4853"/>
      </w:tblGrid>
      <w:tr>
        <w:tc>
          <w:tcPr>
            <w:tcW w:type="dxa" w:w="485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p>
            <w:pPr>
              <w:pBdr>
                <w:bottom w:val="single" w:color="4A7C59" w:sz="4" w:space="2"/>
              </w:pBdr>
              <w:spacing w:after="60" w:before="120"/>
            </w:pPr>
            <w:r>
              <w:rPr>
                <w:rFonts w:ascii="Arial" w:cs="Arial" w:eastAsia="Arial" w:hAnsi="Arial"/>
                <w:b/>
                <w:bCs/>
                <w:color w:val="4A7C59"/>
                <w:sz w:val="22"/>
                <w:szCs w:val="22"/>
              </w:rPr>
              <w:t xml:space="preserve">A katéter behelyezése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2C2C2C"/>
                <w:sz w:val="19"/>
                <w:szCs w:val="19"/>
              </w:rPr>
              <w:t xml:space="preserve">Előkészítés: intravénás folyadék a vérnyomás stabilizálásához.</w:t>
            </w:r>
          </w:p>
          <w:p>
            <w:pPr>
              <w:spacing w:after="0" w:before="30"/>
            </w:pP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2C2C2C"/>
                <w:sz w:val="19"/>
                <w:szCs w:val="19"/>
              </w:rPr>
              <w:t xml:space="preserve">Testtartás: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color w:val="2C2C2C"/>
                <w:sz w:val="19"/>
                <w:szCs w:val="19"/>
              </w:rPr>
              <w:t xml:space="preserve">Előrehajolva ülsz vagy oldalra fekszel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color w:val="2C2C2C"/>
                <w:sz w:val="19"/>
                <w:szCs w:val="19"/>
              </w:rPr>
              <w:t xml:space="preserve">Gerinc domborítása – ne mozdulj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color w:val="2C2C2C"/>
                <w:sz w:val="19"/>
                <w:szCs w:val="19"/>
              </w:rPr>
              <w:t xml:space="preserve">Jelezd, ha összehúzódást érzel</w:t>
            </w:r>
          </w:p>
          <w:p>
            <w:pPr>
              <w:spacing w:after="0" w:before="30"/>
            </w:pP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2C2C2C"/>
                <w:sz w:val="19"/>
                <w:szCs w:val="19"/>
              </w:rPr>
              <w:t xml:space="preserve">Időtartam: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color w:val="2C2C2C"/>
                <w:sz w:val="19"/>
                <w:szCs w:val="19"/>
              </w:rPr>
              <w:t xml:space="preserve">Behelyezés: ~15 perc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color w:val="2C2C2C"/>
                <w:sz w:val="19"/>
                <w:szCs w:val="19"/>
              </w:rPr>
              <w:t xml:space="preserve">Hatás beállta: további 5–15 perc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color w:val="2C2C2C"/>
                <w:sz w:val="19"/>
                <w:szCs w:val="19"/>
              </w:rPr>
              <w:t xml:space="preserve">Utána újra mozoghatsz – pump biztosítja a folyamatos hatást</w:t>
            </w:r>
          </w:p>
          <w:p>
            <w:pPr>
              <w:spacing w:after="0" w:before="30"/>
            </w:pP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i/>
                <w:iCs/>
                <w:color w:val="7A5C00"/>
                <w:sz w:val="19"/>
                <w:szCs w:val="19"/>
              </w:rPr>
              <w:t xml:space="preserve">⚠ Az esetek ~5%-ában nem működik teljesen – beállítható vagy cserélhető.</w:t>
            </w:r>
          </w:p>
        </w:tc>
        <w:tc>
          <w:tcPr>
            <w:tcW w:type="dxa" w:w="485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200"/>
              <w:bottom w:type="dxa" w:w="0"/>
              <w:right w:type="dxa" w:w="0"/>
            </w:tcMar>
          </w:tcPr>
          <w:p>
            <w:pPr>
              <w:pBdr>
                <w:bottom w:val="single" w:color="4A7C59" w:sz="4" w:space="2"/>
              </w:pBdr>
              <w:spacing w:after="60" w:before="120"/>
            </w:pPr>
            <w:r>
              <w:rPr>
                <w:rFonts w:ascii="Arial" w:cs="Arial" w:eastAsia="Arial" w:hAnsi="Arial"/>
                <w:b/>
                <w:bCs/>
                <w:color w:val="4A7C59"/>
                <w:sz w:val="22"/>
                <w:szCs w:val="22"/>
              </w:rPr>
              <w:t xml:space="preserve">Előnyök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 w:before="30"/>
            </w:pPr>
            <w:r>
              <w:rPr>
                <w:rFonts w:ascii="Arial" w:cs="Arial" w:eastAsia="Arial" w:hAnsi="Arial"/>
                <w:color w:val="2C2C2C"/>
                <w:sz w:val="19"/>
                <w:szCs w:val="19"/>
              </w:rPr>
              <w:t xml:space="preserve">Általában hatékony fájdalomcsillapítás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 w:before="30"/>
            </w:pPr>
            <w:r>
              <w:rPr>
                <w:rFonts w:ascii="Arial" w:cs="Arial" w:eastAsia="Arial" w:hAnsi="Arial"/>
                <w:color w:val="2C2C2C"/>
                <w:sz w:val="19"/>
                <w:szCs w:val="19"/>
              </w:rPr>
              <w:t xml:space="preserve">Nem hat a babára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 w:before="30"/>
            </w:pPr>
            <w:r>
              <w:rPr>
                <w:rFonts w:ascii="Arial" w:cs="Arial" w:eastAsia="Arial" w:hAnsi="Arial"/>
                <w:color w:val="2C2C2C"/>
                <w:sz w:val="19"/>
                <w:szCs w:val="19"/>
              </w:rPr>
              <w:t xml:space="preserve">Szükség esetén a katéteren át erősíthető cs. metszéshez</w:t>
            </w:r>
          </w:p>
          <w:p>
            <w:pPr>
              <w:spacing w:after="0" w:before="60"/>
            </w:pPr>
          </w:p>
          <w:p>
            <w:pPr>
              <w:pBdr>
                <w:bottom w:val="single" w:color="4A7C59" w:sz="4" w:space="2"/>
              </w:pBdr>
              <w:spacing w:after="60" w:before="60"/>
            </w:pPr>
            <w:r>
              <w:rPr>
                <w:rFonts w:ascii="Arial" w:cs="Arial" w:eastAsia="Arial" w:hAnsi="Arial"/>
                <w:b/>
                <w:bCs/>
                <w:color w:val="4A7C59"/>
                <w:sz w:val="22"/>
                <w:szCs w:val="22"/>
              </w:rPr>
              <w:t xml:space="preserve">Lehetséges hatások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color w:val="2C2C2C"/>
                <w:sz w:val="19"/>
                <w:szCs w:val="19"/>
              </w:rPr>
              <w:t xml:space="preserve">Lábak zsibbadása → több beavatkozás esélye (pl. vákuum)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color w:val="2C2C2C"/>
                <w:sz w:val="19"/>
                <w:szCs w:val="19"/>
              </w:rPr>
              <w:t xml:space="preserve">Szülés / kitolási szakasz lassulhat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color w:val="2C2C2C"/>
                <w:sz w:val="19"/>
                <w:szCs w:val="19"/>
              </w:rPr>
              <w:t xml:space="preserve">Alacsony vérnyomás, viszketés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color w:val="2C2C2C"/>
                <w:sz w:val="19"/>
                <w:szCs w:val="19"/>
              </w:rPr>
              <w:t xml:space="preserve">Érzékenység a szúrás helyén (elmúlik)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color w:val="2C2C2C"/>
                <w:sz w:val="19"/>
                <w:szCs w:val="19"/>
              </w:rPr>
              <w:t xml:space="preserve">Hőemelkedés – hosszabb kórházi tartózkodás lehetséges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color w:val="2C2C2C"/>
                <w:sz w:val="19"/>
                <w:szCs w:val="19"/>
              </w:rPr>
              <w:t xml:space="preserve">Várakozás az aneszteziológusra (pl. éjszakai sürgős műtét esetén)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Arial" w:cs="Arial" w:eastAsia="Arial" w:hAnsi="Arial"/>
                <w:color w:val="2C2C2C"/>
                <w:sz w:val="19"/>
                <w:szCs w:val="19"/>
              </w:rPr>
              <w:t xml:space="preserve">Hátfájás nem az epidurálisnak köszönhető – szülés utáni normális jelenség</w:t>
            </w:r>
          </w:p>
        </w:tc>
      </w:tr>
    </w:tbl>
    <w:p>
      <w:pPr>
        <w:spacing w:after="0" w:before="100"/>
      </w:pPr>
    </w:p>
    <w:p>
      <w:pPr>
        <w:pBdr>
          <w:bottom w:val="single" w:color="4A7C59" w:sz="4" w:space="2"/>
        </w:pBdr>
        <w:spacing w:after="60" w:before="160"/>
      </w:pPr>
      <w:r>
        <w:rPr>
          <w:rFonts w:ascii="Arial" w:cs="Arial" w:eastAsia="Arial" w:hAnsi="Arial"/>
          <w:b/>
          <w:bCs/>
          <w:color w:val="4A7C59"/>
          <w:sz w:val="22"/>
          <w:szCs w:val="22"/>
        </w:rPr>
        <w:t xml:space="preserve">Mellékhatások – kockázati táblázat</w:t>
      </w:r>
    </w:p>
    <w:p>
      <w:pPr>
        <w:spacing w:after="0" w:before="40"/>
      </w:pP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2000"/>
        <w:gridCol w:w="2000"/>
      </w:tblGrid>
      <w:tr>
        <w:trPr>
          <w:tblHeader/>
        </w:trPr>
        <w:tc>
          <w:tcPr>
            <w:tcW w:type="dxa" w:w="5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4A7C5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Kockázat</w:t>
            </w:r>
          </w:p>
        </w:tc>
        <w:tc>
          <w:tcPr>
            <w:tcW w:type="dxa" w:w="2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4A7C5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Gyakoriság</w:t>
            </w:r>
          </w:p>
        </w:tc>
        <w:tc>
          <w:tcPr>
            <w:tcW w:type="dxa" w:w="2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4A7C5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Jellemzés</w:t>
            </w:r>
          </w:p>
        </w:tc>
      </w:tr>
      <w:tr>
        <w:tc>
          <w:tcPr>
            <w:tcW w:type="dxa" w:w="5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Jelentős vérnyomáscsökkenés</w:t>
            </w:r>
          </w:p>
        </w:tc>
        <w:tc>
          <w:tcPr>
            <w:tcW w:type="dxa" w:w="2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50-ből 1</w:t>
            </w:r>
          </w:p>
        </w:tc>
        <w:tc>
          <w:tcPr>
            <w:tcW w:type="dxa" w:w="2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alkalomszerűen</w:t>
            </w:r>
          </w:p>
        </w:tc>
      </w:tr>
      <w:tr>
        <w:tc>
          <w:tcPr>
            <w:tcW w:type="dxa" w:w="5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E8F0EB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Elégtelen fájdalomcsillapítás → más módszer szükséges</w:t>
            </w:r>
          </w:p>
        </w:tc>
        <w:tc>
          <w:tcPr>
            <w:tcW w:type="dxa" w:w="2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E8F0EB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8-ból 1</w:t>
            </w:r>
          </w:p>
        </w:tc>
        <w:tc>
          <w:tcPr>
            <w:tcW w:type="dxa" w:w="2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E8F0EB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néha</w:t>
            </w:r>
          </w:p>
        </w:tc>
      </w:tr>
      <w:tr>
        <w:tc>
          <w:tcPr>
            <w:tcW w:type="dxa" w:w="5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Elégtelen hatás cs. szakaszon → teljes altatás</w:t>
            </w:r>
          </w:p>
        </w:tc>
        <w:tc>
          <w:tcPr>
            <w:tcW w:type="dxa" w:w="2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20-ból 1</w:t>
            </w:r>
          </w:p>
        </w:tc>
        <w:tc>
          <w:tcPr>
            <w:tcW w:type="dxa" w:w="2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néha</w:t>
            </w:r>
          </w:p>
        </w:tc>
      </w:tr>
      <w:tr>
        <w:tc>
          <w:tcPr>
            <w:tcW w:type="dxa" w:w="5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E8F0EB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Erős fejfájás (gerincfolyadék szivárgás)</w:t>
            </w:r>
          </w:p>
        </w:tc>
        <w:tc>
          <w:tcPr>
            <w:tcW w:type="dxa" w:w="2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E8F0EB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100-ból 1</w:t>
            </w:r>
          </w:p>
        </w:tc>
        <w:tc>
          <w:tcPr>
            <w:tcW w:type="dxa" w:w="2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E8F0EB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ritkán</w:t>
            </w:r>
          </w:p>
        </w:tc>
      </w:tr>
      <w:tr>
        <w:tc>
          <w:tcPr>
            <w:tcW w:type="dxa" w:w="5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Idegkárosodás – időszakos (&gt;6 hó)</w:t>
            </w:r>
          </w:p>
        </w:tc>
        <w:tc>
          <w:tcPr>
            <w:tcW w:type="dxa" w:w="2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1.000-ből 1</w:t>
            </w:r>
          </w:p>
        </w:tc>
        <w:tc>
          <w:tcPr>
            <w:tcW w:type="dxa" w:w="2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kivételes</w:t>
            </w:r>
          </w:p>
        </w:tc>
      </w:tr>
      <w:tr>
        <w:tc>
          <w:tcPr>
            <w:tcW w:type="dxa" w:w="5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E8F0EB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Idegkárosodás – állandó</w:t>
            </w:r>
          </w:p>
        </w:tc>
        <w:tc>
          <w:tcPr>
            <w:tcW w:type="dxa" w:w="2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E8F0EB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13.000-ből 1</w:t>
            </w:r>
          </w:p>
        </w:tc>
        <w:tc>
          <w:tcPr>
            <w:tcW w:type="dxa" w:w="2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E8F0EB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kivételes</w:t>
            </w:r>
          </w:p>
        </w:tc>
      </w:tr>
      <w:tr>
        <w:tc>
          <w:tcPr>
            <w:tcW w:type="dxa" w:w="5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Epidurális tályog</w:t>
            </w:r>
          </w:p>
        </w:tc>
        <w:tc>
          <w:tcPr>
            <w:tcW w:type="dxa" w:w="2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50.000-ből 1</w:t>
            </w:r>
          </w:p>
        </w:tc>
        <w:tc>
          <w:tcPr>
            <w:tcW w:type="dxa" w:w="2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egyedi</w:t>
            </w:r>
          </w:p>
        </w:tc>
      </w:tr>
      <w:tr>
        <w:tc>
          <w:tcPr>
            <w:tcW w:type="dxa" w:w="5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E8F0EB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Meningitisz</w:t>
            </w:r>
          </w:p>
        </w:tc>
        <w:tc>
          <w:tcPr>
            <w:tcW w:type="dxa" w:w="2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E8F0EB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100.000-ből 1</w:t>
            </w:r>
          </w:p>
        </w:tc>
        <w:tc>
          <w:tcPr>
            <w:tcW w:type="dxa" w:w="2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E8F0EB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egyedi</w:t>
            </w:r>
          </w:p>
        </w:tc>
      </w:tr>
      <w:tr>
        <w:tc>
          <w:tcPr>
            <w:tcW w:type="dxa" w:w="5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Epidurális hematóma</w:t>
            </w:r>
          </w:p>
        </w:tc>
        <w:tc>
          <w:tcPr>
            <w:tcW w:type="dxa" w:w="2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170.000-ből 1</w:t>
            </w:r>
          </w:p>
        </w:tc>
        <w:tc>
          <w:tcPr>
            <w:tcW w:type="dxa" w:w="2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egyedi</w:t>
            </w:r>
          </w:p>
        </w:tc>
      </w:tr>
      <w:tr>
        <w:tc>
          <w:tcPr>
            <w:tcW w:type="dxa" w:w="5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E8F0EB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Eszméletvesztés</w:t>
            </w:r>
          </w:p>
        </w:tc>
        <w:tc>
          <w:tcPr>
            <w:tcW w:type="dxa" w:w="2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E8F0EB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100.000-ből 1</w:t>
            </w:r>
          </w:p>
        </w:tc>
        <w:tc>
          <w:tcPr>
            <w:tcW w:type="dxa" w:w="2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E8F0EB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egyedi</w:t>
            </w:r>
          </w:p>
        </w:tc>
      </w:tr>
      <w:tr>
        <w:tc>
          <w:tcPr>
            <w:tcW w:type="dxa" w:w="5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Súlyos sérülés / bénulás</w:t>
            </w:r>
          </w:p>
        </w:tc>
        <w:tc>
          <w:tcPr>
            <w:tcW w:type="dxa" w:w="2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250.000-ből 1</w:t>
            </w:r>
          </w:p>
        </w:tc>
        <w:tc>
          <w:tcPr>
            <w:tcW w:type="dxa" w:w="2000"/>
            <w:tcBorders>
              <w:top w:val="single" w:color="C8D9CC" w:sz="1"/>
              <w:left w:val="single" w:color="C8D9CC" w:sz="1"/>
              <w:bottom w:val="single" w:color="C8D9CC" w:sz="1"/>
              <w:right w:val="single" w:color="C8D9CC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color w:val="2C2C2C"/>
                <w:sz w:val="17"/>
                <w:szCs w:val="17"/>
              </w:rPr>
              <w:t xml:space="preserve">rendkívüli</w:t>
            </w:r>
          </w:p>
        </w:tc>
      </w:tr>
    </w:tbl>
    <w:p>
      <w:pPr>
        <w:spacing w:after="0" w:before="120"/>
      </w:pPr>
    </w:p>
    <w:p>
      <w:pPr>
        <w:pBdr>
          <w:top w:val="single" w:color="4A7C59" w:sz="4" w:space="4"/>
        </w:pBdr>
        <w:spacing w:after="40" w:before="80"/>
      </w:pPr>
      <w:r>
        <w:rPr>
          <w:rFonts w:ascii="Arial" w:cs="Arial" w:eastAsia="Arial" w:hAnsi="Arial"/>
          <w:color w:val="7A9E85"/>
          <w:sz w:val="16"/>
          <w:szCs w:val="16"/>
        </w:rPr>
        <w:t xml:space="preserve">Rotterdam Bevalt  •  Weipoort 1, 3075 EW Rotterdam  •  06-51 99 69 03  •  www.rotterdambevalt.nl</w:t>
      </w:r>
    </w:p>
    <w:p>
      <w:pPr>
        <w:spacing w:after="0" w:before="0"/>
      </w:pPr>
      <w:r>
        <w:rPr>
          <w:rFonts w:ascii="Arial" w:cs="Arial" w:eastAsia="Arial" w:hAnsi="Arial"/>
          <w:i/>
          <w:iCs/>
          <w:color w:val="4A7C59"/>
          <w:sz w:val="16"/>
          <w:szCs w:val="16"/>
        </w:rPr>
        <w:t xml:space="preserve">Egy nyugodt terhesség és sikeres szülés – ezért dolgozunk!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✓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2026-05-19T07:04:34.586Z</dcterms:created>
  <dcterms:modified xsi:type="dcterms:W3CDTF">2026-05-19T07:04:34.586Z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